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62786C">
        <w:trPr>
          <w:cantSplit/>
          <w:trHeight w:hRule="exact" w:val="24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2786C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  <w:p w:rsid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  <w:p w:rsidR="0062786C" w:rsidRPr="00C75DD0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</w:t>
      </w:r>
      <w:proofErr w:type="spellStart"/>
      <w:r w:rsidRPr="005D21CE">
        <w:rPr>
          <w:rFonts w:ascii="Arial Narrow" w:hAnsi="Arial Narrow"/>
          <w:b/>
          <w:sz w:val="18"/>
          <w:szCs w:val="18"/>
          <w:lang w:eastAsia="pl-PL"/>
        </w:rPr>
        <w:t>Pzp</w:t>
      </w:r>
      <w:proofErr w:type="spellEnd"/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C669A8">
        <w:rPr>
          <w:rFonts w:ascii="Arial Narrow" w:hAnsi="Arial Narrow"/>
          <w:b/>
          <w:sz w:val="14"/>
          <w:szCs w:val="14"/>
        </w:rPr>
        <w:t>poddziałania</w:t>
      </w:r>
      <w:proofErr w:type="spellEnd"/>
      <w:r w:rsidRPr="00C669A8">
        <w:rPr>
          <w:rFonts w:ascii="Arial Narrow" w:hAnsi="Arial Narrow"/>
          <w:b/>
          <w:sz w:val="14"/>
          <w:szCs w:val="14"/>
        </w:rPr>
        <w:t>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pkt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 xml:space="preserve"> 12-23 ustawy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Pzp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>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mającą zastosowanie podstawę wykluczenia spośród wymienionych w art. 24 ust. 1 </w:t>
      </w:r>
      <w:proofErr w:type="spellStart"/>
      <w:r w:rsidRPr="00C669A8">
        <w:rPr>
          <w:rFonts w:ascii="Arial Narrow" w:hAnsi="Arial Narrow"/>
          <w:i/>
          <w:sz w:val="16"/>
          <w:szCs w:val="16"/>
          <w:lang w:eastAsia="pl-PL"/>
        </w:rPr>
        <w:t>pkt</w:t>
      </w:r>
      <w:proofErr w:type="spellEnd"/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>Oświadczam, że następujący/e podmiot/y, na którego/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ych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lastRenderedPageBreak/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77174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komplementariusza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pkt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13;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niedyskryminacyjne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sectPr w:rsidR="00DA08F8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2D" w:rsidRDefault="0086362D" w:rsidP="005F0346">
      <w:pPr>
        <w:spacing w:after="0" w:line="240" w:lineRule="auto"/>
      </w:pPr>
      <w:r>
        <w:separator/>
      </w:r>
    </w:p>
  </w:endnote>
  <w:endnote w:type="continuationSeparator" w:id="0">
    <w:p w:rsidR="0086362D" w:rsidRDefault="0086362D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532B7D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4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2D" w:rsidRDefault="0086362D" w:rsidP="005F0346">
      <w:pPr>
        <w:spacing w:after="0" w:line="240" w:lineRule="auto"/>
      </w:pPr>
      <w:r>
        <w:separator/>
      </w:r>
    </w:p>
  </w:footnote>
  <w:footnote w:type="continuationSeparator" w:id="0">
    <w:p w:rsidR="0086362D" w:rsidRDefault="0086362D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3D00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2006"/>
    <w:rsid w:val="00532AD7"/>
    <w:rsid w:val="00532B7D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2B29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1EB4"/>
    <w:rsid w:val="00842165"/>
    <w:rsid w:val="0084504E"/>
    <w:rsid w:val="0084535F"/>
    <w:rsid w:val="00850F53"/>
    <w:rsid w:val="00853ABD"/>
    <w:rsid w:val="008620DF"/>
    <w:rsid w:val="0086362D"/>
    <w:rsid w:val="0087005B"/>
    <w:rsid w:val="00872699"/>
    <w:rsid w:val="00873660"/>
    <w:rsid w:val="008842B1"/>
    <w:rsid w:val="00887593"/>
    <w:rsid w:val="00890B01"/>
    <w:rsid w:val="00894AAA"/>
    <w:rsid w:val="00894E07"/>
    <w:rsid w:val="008951DD"/>
    <w:rsid w:val="008A6B6A"/>
    <w:rsid w:val="008B3D31"/>
    <w:rsid w:val="008B58AC"/>
    <w:rsid w:val="008B602B"/>
    <w:rsid w:val="008C5797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70E6B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4A80-742B-4505-A378-C388C081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2020-05-07T07:50:00Z</cp:lastPrinted>
  <dcterms:created xsi:type="dcterms:W3CDTF">2020-05-07T07:53:00Z</dcterms:created>
  <dcterms:modified xsi:type="dcterms:W3CDTF">2020-05-07T07:54:00Z</dcterms:modified>
</cp:coreProperties>
</file>